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f7864f70624470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9" w:rsidRPr="00997EC9" w:rsidRDefault="00997EC9" w:rsidP="00997EC9">
      <w:pPr>
        <w:rPr>
          <w:b/>
          <w:bCs/>
        </w:rPr>
      </w:pPr>
      <w:bookmarkStart w:id="0" w:name="_GoBack"/>
      <w:bookmarkEnd w:id="0"/>
      <w:r w:rsidRPr="00997EC9">
        <w:rPr>
          <w:b/>
          <w:bCs/>
        </w:rPr>
        <w:t xml:space="preserve">Appendix </w:t>
      </w:r>
      <w:r>
        <w:rPr>
          <w:b/>
          <w:bCs/>
        </w:rPr>
        <w:t>2</w:t>
      </w:r>
      <w:r w:rsidRPr="00997EC9">
        <w:rPr>
          <w:b/>
          <w:bCs/>
        </w:rPr>
        <w:t>: Risk Register</w:t>
      </w:r>
    </w:p>
    <w:p w:rsidR="00997EC9" w:rsidRPr="00997EC9" w:rsidRDefault="00997EC9" w:rsidP="00997EC9">
      <w:pPr>
        <w:rPr>
          <w:b/>
          <w:bCs/>
        </w:rPr>
      </w:pPr>
    </w:p>
    <w:tbl>
      <w:tblPr>
        <w:tblW w:w="5268" w:type="pct"/>
        <w:tblInd w:w="-409" w:type="dxa"/>
        <w:tblLayout w:type="fixed"/>
        <w:tblCellMar>
          <w:left w:w="0" w:type="dxa"/>
          <w:right w:w="0" w:type="dxa"/>
        </w:tblCellMar>
        <w:tblLook w:val="0000" w:firstRow="0" w:lastRow="0" w:firstColumn="0" w:lastColumn="0" w:noHBand="0" w:noVBand="0"/>
      </w:tblPr>
      <w:tblGrid>
        <w:gridCol w:w="1134"/>
        <w:gridCol w:w="991"/>
        <w:gridCol w:w="1277"/>
        <w:gridCol w:w="1418"/>
        <w:gridCol w:w="1415"/>
        <w:gridCol w:w="1557"/>
        <w:gridCol w:w="758"/>
        <w:gridCol w:w="991"/>
        <w:gridCol w:w="307"/>
        <w:gridCol w:w="307"/>
        <w:gridCol w:w="433"/>
        <w:gridCol w:w="436"/>
        <w:gridCol w:w="380"/>
        <w:gridCol w:w="377"/>
        <w:gridCol w:w="708"/>
        <w:gridCol w:w="982"/>
        <w:gridCol w:w="1271"/>
      </w:tblGrid>
      <w:tr w:rsidR="00997EC9" w:rsidRPr="00997EC9" w:rsidTr="00784DD3">
        <w:trPr>
          <w:trHeight w:val="1098"/>
        </w:trPr>
        <w:tc>
          <w:tcPr>
            <w:tcW w:w="385" w:type="pct"/>
            <w:tcBorders>
              <w:top w:val="single" w:sz="8" w:space="0" w:color="auto"/>
              <w:left w:val="single" w:sz="8" w:space="0" w:color="auto"/>
              <w:bottom w:val="single" w:sz="8"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Risk ID</w:t>
            </w:r>
          </w:p>
        </w:tc>
        <w:tc>
          <w:tcPr>
            <w:tcW w:w="2515" w:type="pct"/>
            <w:gridSpan w:val="6"/>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Risk</w:t>
            </w:r>
          </w:p>
        </w:tc>
        <w:tc>
          <w:tcPr>
            <w:tcW w:w="336" w:type="pct"/>
            <w:tcBorders>
              <w:top w:val="single" w:sz="8" w:space="0" w:color="auto"/>
              <w:left w:val="nil"/>
              <w:bottom w:val="single" w:sz="8"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Corporate Objective</w:t>
            </w:r>
          </w:p>
        </w:tc>
        <w:tc>
          <w:tcPr>
            <w:tcW w:w="208"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Gross Risk</w:t>
            </w:r>
          </w:p>
        </w:tc>
        <w:tc>
          <w:tcPr>
            <w:tcW w:w="295"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Residual  Risk</w:t>
            </w:r>
          </w:p>
        </w:tc>
        <w:tc>
          <w:tcPr>
            <w:tcW w:w="257" w:type="pct"/>
            <w:gridSpan w:val="2"/>
            <w:tcBorders>
              <w:top w:val="single" w:sz="8" w:space="0" w:color="auto"/>
              <w:left w:val="nil"/>
              <w:bottom w:val="single" w:sz="8" w:space="0" w:color="auto"/>
              <w:right w:val="single" w:sz="8" w:space="0" w:color="000000"/>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Current Risk</w:t>
            </w:r>
          </w:p>
        </w:tc>
        <w:tc>
          <w:tcPr>
            <w:tcW w:w="240" w:type="pct"/>
            <w:tcBorders>
              <w:top w:val="single" w:sz="8" w:space="0" w:color="auto"/>
              <w:left w:val="nil"/>
              <w:bottom w:val="nil"/>
              <w:right w:val="nil"/>
            </w:tcBorders>
            <w:shd w:val="clear" w:color="auto" w:fill="C0C0C0"/>
            <w:tcMar>
              <w:top w:w="17" w:type="dxa"/>
              <w:left w:w="17" w:type="dxa"/>
              <w:bottom w:w="0" w:type="dxa"/>
              <w:right w:w="17" w:type="dxa"/>
            </w:tcMar>
            <w:vAlign w:val="bottom"/>
          </w:tcPr>
          <w:p w:rsidR="00997EC9" w:rsidRPr="00997EC9" w:rsidRDefault="00997EC9" w:rsidP="00997EC9">
            <w:pPr>
              <w:jc w:val="center"/>
              <w:rPr>
                <w:rFonts w:eastAsia="Arial Unicode MS" w:cs="Arial"/>
                <w:b/>
                <w:bCs/>
                <w:sz w:val="20"/>
                <w:szCs w:val="20"/>
              </w:rPr>
            </w:pPr>
            <w:r w:rsidRPr="00997EC9">
              <w:rPr>
                <w:rFonts w:cs="Arial"/>
                <w:b/>
                <w:bCs/>
                <w:sz w:val="20"/>
                <w:szCs w:val="20"/>
              </w:rPr>
              <w:t>Owner</w:t>
            </w:r>
          </w:p>
        </w:tc>
        <w:tc>
          <w:tcPr>
            <w:tcW w:w="333" w:type="pct"/>
            <w:tcBorders>
              <w:top w:val="single" w:sz="8" w:space="0" w:color="auto"/>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jc w:val="center"/>
              <w:rPr>
                <w:rFonts w:eastAsia="Arial Unicode MS" w:cs="Arial"/>
                <w:b/>
                <w:bCs/>
                <w:sz w:val="20"/>
                <w:szCs w:val="20"/>
              </w:rPr>
            </w:pPr>
            <w:r w:rsidRPr="00997EC9">
              <w:rPr>
                <w:rFonts w:cs="Arial"/>
                <w:b/>
                <w:bCs/>
                <w:sz w:val="20"/>
                <w:szCs w:val="20"/>
              </w:rPr>
              <w:t xml:space="preserve">Date Risk Reviewed </w:t>
            </w:r>
          </w:p>
        </w:tc>
        <w:tc>
          <w:tcPr>
            <w:tcW w:w="431" w:type="pct"/>
            <w:tcBorders>
              <w:top w:val="single" w:sz="8" w:space="0" w:color="auto"/>
              <w:left w:val="nil"/>
              <w:bottom w:val="nil"/>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Proximity of Risk (Projects/ Contracts Only)</w:t>
            </w:r>
          </w:p>
        </w:tc>
      </w:tr>
      <w:tr w:rsidR="00784DD3" w:rsidRPr="00997EC9" w:rsidTr="00784DD3">
        <w:trPr>
          <w:trHeight w:val="1185"/>
        </w:trPr>
        <w:tc>
          <w:tcPr>
            <w:tcW w:w="385" w:type="pct"/>
            <w:tcBorders>
              <w:top w:val="nil"/>
              <w:left w:val="single" w:sz="8" w:space="0" w:color="auto"/>
              <w:bottom w:val="nil"/>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Category-000-Service Area Code</w:t>
            </w:r>
          </w:p>
        </w:tc>
        <w:tc>
          <w:tcPr>
            <w:tcW w:w="336" w:type="pct"/>
            <w:tcBorders>
              <w:top w:val="nil"/>
              <w:left w:val="nil"/>
              <w:bottom w:val="nil"/>
              <w:right w:val="single" w:sz="4"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Risk Title</w:t>
            </w:r>
          </w:p>
        </w:tc>
        <w:tc>
          <w:tcPr>
            <w:tcW w:w="433" w:type="pct"/>
            <w:tcBorders>
              <w:top w:val="single" w:sz="4" w:space="0" w:color="auto"/>
              <w:left w:val="single" w:sz="4" w:space="0" w:color="auto"/>
              <w:bottom w:val="single" w:sz="4" w:space="0" w:color="auto"/>
              <w:right w:val="single" w:sz="4"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Opportunity/Threat</w:t>
            </w:r>
          </w:p>
        </w:tc>
        <w:tc>
          <w:tcPr>
            <w:tcW w:w="481" w:type="pct"/>
            <w:tcBorders>
              <w:top w:val="single" w:sz="4" w:space="0" w:color="auto"/>
              <w:left w:val="single" w:sz="4" w:space="0" w:color="auto"/>
              <w:bottom w:val="single" w:sz="4" w:space="0" w:color="auto"/>
              <w:right w:val="single" w:sz="4"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Risk Description</w:t>
            </w:r>
          </w:p>
        </w:tc>
        <w:tc>
          <w:tcPr>
            <w:tcW w:w="480" w:type="pct"/>
            <w:tcBorders>
              <w:top w:val="nil"/>
              <w:left w:val="single" w:sz="4" w:space="0" w:color="auto"/>
              <w:bottom w:val="nil"/>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Risk Cause</w:t>
            </w:r>
          </w:p>
        </w:tc>
        <w:tc>
          <w:tcPr>
            <w:tcW w:w="528" w:type="pct"/>
            <w:tcBorders>
              <w:top w:val="nil"/>
              <w:left w:val="nil"/>
              <w:bottom w:val="nil"/>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Consequence</w:t>
            </w:r>
          </w:p>
        </w:tc>
        <w:tc>
          <w:tcPr>
            <w:tcW w:w="256" w:type="pct"/>
            <w:tcBorders>
              <w:top w:val="nil"/>
              <w:left w:val="nil"/>
              <w:bottom w:val="single" w:sz="4"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Date raised</w:t>
            </w:r>
          </w:p>
        </w:tc>
        <w:tc>
          <w:tcPr>
            <w:tcW w:w="336" w:type="pct"/>
            <w:tcBorders>
              <w:top w:val="nil"/>
              <w:left w:val="nil"/>
              <w:bottom w:val="single" w:sz="4"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1 to 6</w:t>
            </w:r>
          </w:p>
        </w:tc>
        <w:tc>
          <w:tcPr>
            <w:tcW w:w="104" w:type="pct"/>
            <w:tcBorders>
              <w:top w:val="nil"/>
              <w:left w:val="nil"/>
              <w:bottom w:val="single" w:sz="4" w:space="0" w:color="auto"/>
              <w:right w:val="nil"/>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I</w:t>
            </w:r>
          </w:p>
        </w:tc>
        <w:tc>
          <w:tcPr>
            <w:tcW w:w="104" w:type="pct"/>
            <w:tcBorders>
              <w:top w:val="nil"/>
              <w:left w:val="single" w:sz="8" w:space="0" w:color="auto"/>
              <w:bottom w:val="single" w:sz="4"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P</w:t>
            </w:r>
          </w:p>
        </w:tc>
        <w:tc>
          <w:tcPr>
            <w:tcW w:w="147" w:type="pct"/>
            <w:tcBorders>
              <w:top w:val="nil"/>
              <w:left w:val="nil"/>
              <w:bottom w:val="single" w:sz="4" w:space="0" w:color="auto"/>
              <w:right w:val="nil"/>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I</w:t>
            </w:r>
          </w:p>
        </w:tc>
        <w:tc>
          <w:tcPr>
            <w:tcW w:w="148" w:type="pct"/>
            <w:tcBorders>
              <w:top w:val="nil"/>
              <w:left w:val="single" w:sz="8" w:space="0" w:color="auto"/>
              <w:bottom w:val="single" w:sz="4"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P</w:t>
            </w:r>
          </w:p>
        </w:tc>
        <w:tc>
          <w:tcPr>
            <w:tcW w:w="129" w:type="pct"/>
            <w:tcBorders>
              <w:top w:val="nil"/>
              <w:left w:val="nil"/>
              <w:bottom w:val="single" w:sz="4"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I</w:t>
            </w:r>
          </w:p>
        </w:tc>
        <w:tc>
          <w:tcPr>
            <w:tcW w:w="128" w:type="pct"/>
            <w:tcBorders>
              <w:top w:val="nil"/>
              <w:left w:val="nil"/>
              <w:bottom w:val="single" w:sz="4" w:space="0" w:color="auto"/>
              <w:right w:val="single" w:sz="8" w:space="0" w:color="auto"/>
            </w:tcBorders>
            <w:shd w:val="clear" w:color="auto" w:fill="C0C0C0"/>
            <w:tcMar>
              <w:top w:w="17" w:type="dxa"/>
              <w:left w:w="17" w:type="dxa"/>
              <w:bottom w:w="0" w:type="dxa"/>
              <w:right w:w="17" w:type="dxa"/>
            </w:tcMar>
            <w:vAlign w:val="bottom"/>
          </w:tcPr>
          <w:p w:rsidR="00997EC9" w:rsidRPr="00997EC9" w:rsidRDefault="00997EC9" w:rsidP="00997EC9">
            <w:pPr>
              <w:rPr>
                <w:rFonts w:eastAsia="Arial Unicode MS" w:cs="Arial"/>
                <w:b/>
                <w:bCs/>
                <w:sz w:val="20"/>
                <w:szCs w:val="20"/>
              </w:rPr>
            </w:pPr>
            <w:r w:rsidRPr="00997EC9">
              <w:rPr>
                <w:rFonts w:cs="Arial"/>
                <w:b/>
                <w:bCs/>
                <w:sz w:val="20"/>
                <w:szCs w:val="20"/>
              </w:rPr>
              <w:t>P</w:t>
            </w:r>
          </w:p>
        </w:tc>
        <w:tc>
          <w:tcPr>
            <w:tcW w:w="240" w:type="pct"/>
            <w:tcBorders>
              <w:top w:val="single" w:sz="8" w:space="0" w:color="auto"/>
              <w:left w:val="nil"/>
              <w:bottom w:val="single" w:sz="4" w:space="0" w:color="auto"/>
              <w:right w:val="single" w:sz="8" w:space="0" w:color="auto"/>
            </w:tcBorders>
            <w:shd w:val="clear" w:color="auto" w:fill="C0C0C0"/>
            <w:noWrap/>
            <w:tcMar>
              <w:top w:w="17" w:type="dxa"/>
              <w:left w:w="17" w:type="dxa"/>
              <w:bottom w:w="0" w:type="dxa"/>
              <w:right w:w="17" w:type="dxa"/>
            </w:tcMar>
            <w:vAlign w:val="bottom"/>
          </w:tcPr>
          <w:p w:rsidR="00997EC9" w:rsidRPr="00997EC9" w:rsidRDefault="00997EC9" w:rsidP="00997EC9">
            <w:pPr>
              <w:rPr>
                <w:rFonts w:eastAsia="Arial Unicode MS" w:cs="Arial"/>
                <w:sz w:val="20"/>
                <w:szCs w:val="20"/>
              </w:rPr>
            </w:pPr>
            <w:r w:rsidRPr="00997EC9">
              <w:rPr>
                <w:rFonts w:cs="Arial"/>
                <w:sz w:val="20"/>
                <w:szCs w:val="20"/>
              </w:rPr>
              <w:t> </w:t>
            </w:r>
          </w:p>
        </w:tc>
        <w:tc>
          <w:tcPr>
            <w:tcW w:w="333" w:type="pct"/>
            <w:tcBorders>
              <w:top w:val="single" w:sz="8" w:space="0" w:color="auto"/>
              <w:left w:val="nil"/>
              <w:bottom w:val="single" w:sz="4" w:space="0" w:color="auto"/>
              <w:right w:val="single" w:sz="8" w:space="0" w:color="auto"/>
            </w:tcBorders>
            <w:shd w:val="clear" w:color="auto" w:fill="C0C0C0"/>
            <w:noWrap/>
            <w:tcMar>
              <w:top w:w="17" w:type="dxa"/>
              <w:left w:w="17" w:type="dxa"/>
              <w:bottom w:w="0" w:type="dxa"/>
              <w:right w:w="17" w:type="dxa"/>
            </w:tcMar>
            <w:vAlign w:val="bottom"/>
          </w:tcPr>
          <w:p w:rsidR="00997EC9" w:rsidRPr="00997EC9" w:rsidRDefault="00997EC9" w:rsidP="00997EC9">
            <w:pPr>
              <w:rPr>
                <w:rFonts w:eastAsia="Arial Unicode MS" w:cs="Arial"/>
                <w:sz w:val="20"/>
                <w:szCs w:val="20"/>
              </w:rPr>
            </w:pPr>
            <w:r w:rsidRPr="00997EC9">
              <w:rPr>
                <w:rFonts w:cs="Arial"/>
                <w:sz w:val="20"/>
                <w:szCs w:val="20"/>
              </w:rPr>
              <w:t> </w:t>
            </w:r>
          </w:p>
        </w:tc>
        <w:tc>
          <w:tcPr>
            <w:tcW w:w="431" w:type="pct"/>
            <w:tcBorders>
              <w:top w:val="single" w:sz="8" w:space="0" w:color="auto"/>
              <w:left w:val="nil"/>
              <w:bottom w:val="single" w:sz="4" w:space="0" w:color="auto"/>
              <w:right w:val="single" w:sz="8" w:space="0" w:color="auto"/>
            </w:tcBorders>
            <w:shd w:val="clear" w:color="auto" w:fill="C0C0C0"/>
            <w:noWrap/>
            <w:tcMar>
              <w:top w:w="17" w:type="dxa"/>
              <w:left w:w="17" w:type="dxa"/>
              <w:bottom w:w="0" w:type="dxa"/>
              <w:right w:w="17" w:type="dxa"/>
            </w:tcMar>
            <w:vAlign w:val="bottom"/>
          </w:tcPr>
          <w:p w:rsidR="00997EC9" w:rsidRPr="00997EC9" w:rsidRDefault="00997EC9" w:rsidP="00997EC9">
            <w:pPr>
              <w:rPr>
                <w:rFonts w:eastAsia="Arial Unicode MS" w:cs="Arial"/>
                <w:sz w:val="20"/>
                <w:szCs w:val="20"/>
              </w:rPr>
            </w:pPr>
            <w:r w:rsidRPr="00997EC9">
              <w:rPr>
                <w:rFonts w:cs="Arial"/>
                <w:sz w:val="20"/>
                <w:szCs w:val="20"/>
              </w:rPr>
              <w:t> </w:t>
            </w:r>
          </w:p>
        </w:tc>
      </w:tr>
      <w:tr w:rsidR="00784DD3" w:rsidRPr="00997EC9" w:rsidTr="00784DD3">
        <w:trPr>
          <w:trHeight w:val="255"/>
        </w:trPr>
        <w:tc>
          <w:tcPr>
            <w:tcW w:w="38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CEB-001-CD</w:t>
            </w:r>
          </w:p>
        </w:tc>
        <w:tc>
          <w:tcPr>
            <w:tcW w:w="3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87633B" w:rsidP="00771241">
            <w:pPr>
              <w:rPr>
                <w:rFonts w:ascii="Verdana" w:hAnsi="Verdana" w:cs="Arial"/>
                <w:sz w:val="18"/>
                <w:szCs w:val="18"/>
              </w:rPr>
            </w:pPr>
            <w:r>
              <w:rPr>
                <w:rFonts w:ascii="Verdana" w:hAnsi="Verdana" w:cs="Arial"/>
                <w:sz w:val="18"/>
                <w:szCs w:val="18"/>
              </w:rPr>
              <w:t xml:space="preserve">Insufficient housing </w:t>
            </w:r>
            <w:r w:rsidR="00771241">
              <w:rPr>
                <w:rFonts w:ascii="Verdana" w:hAnsi="Verdana" w:cs="Arial"/>
                <w:sz w:val="18"/>
                <w:szCs w:val="18"/>
              </w:rPr>
              <w:t xml:space="preserve">delivered </w:t>
            </w:r>
            <w:r w:rsidR="00784DD3">
              <w:rPr>
                <w:rFonts w:ascii="Verdana" w:hAnsi="Verdana" w:cs="Arial"/>
                <w:sz w:val="18"/>
                <w:szCs w:val="18"/>
              </w:rPr>
              <w:t xml:space="preserve">to meet </w:t>
            </w:r>
            <w:r>
              <w:rPr>
                <w:rFonts w:ascii="Verdana" w:hAnsi="Verdana" w:cs="Arial"/>
                <w:sz w:val="18"/>
                <w:szCs w:val="18"/>
              </w:rPr>
              <w:t>identified need</w:t>
            </w:r>
          </w:p>
        </w:tc>
        <w:tc>
          <w:tcPr>
            <w:tcW w:w="433"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71241" w:rsidP="00105B82">
            <w:pPr>
              <w:rPr>
                <w:rFonts w:ascii="Verdana" w:hAnsi="Verdana" w:cs="Arial"/>
                <w:sz w:val="18"/>
                <w:szCs w:val="18"/>
              </w:rPr>
            </w:pPr>
            <w:r>
              <w:rPr>
                <w:rFonts w:ascii="Verdana" w:hAnsi="Verdana" w:cs="Arial"/>
                <w:sz w:val="18"/>
                <w:szCs w:val="18"/>
              </w:rPr>
              <w:t>Threat</w:t>
            </w:r>
            <w:r w:rsidR="0087633B">
              <w:rPr>
                <w:rFonts w:ascii="Verdana" w:hAnsi="Verdana" w:cs="Arial"/>
                <w:sz w:val="18"/>
                <w:szCs w:val="18"/>
              </w:rPr>
              <w:t xml:space="preserve"> </w:t>
            </w:r>
            <w:r>
              <w:rPr>
                <w:rFonts w:ascii="Verdana" w:hAnsi="Verdana" w:cs="Arial"/>
                <w:sz w:val="18"/>
                <w:szCs w:val="18"/>
              </w:rPr>
              <w:t>and Opportunity</w:t>
            </w:r>
          </w:p>
        </w:tc>
        <w:tc>
          <w:tcPr>
            <w:tcW w:w="481"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87633B" w:rsidP="00105B82">
            <w:pPr>
              <w:rPr>
                <w:rFonts w:ascii="Verdana" w:hAnsi="Verdana" w:cs="Arial"/>
                <w:sz w:val="18"/>
                <w:szCs w:val="18"/>
              </w:rPr>
            </w:pPr>
            <w:r>
              <w:rPr>
                <w:rFonts w:ascii="Verdana" w:hAnsi="Verdana" w:cs="Arial"/>
                <w:sz w:val="18"/>
                <w:szCs w:val="18"/>
              </w:rPr>
              <w:t xml:space="preserve">The new Oxfordshire SHMA is likely to identify a level of housing need in Oxford </w:t>
            </w:r>
            <w:r w:rsidR="00A944FD">
              <w:rPr>
                <w:rFonts w:ascii="Verdana" w:hAnsi="Verdana" w:cs="Arial"/>
                <w:sz w:val="18"/>
                <w:szCs w:val="18"/>
              </w:rPr>
              <w:t>that is well beyond the capacity of the city to accommodate</w:t>
            </w:r>
            <w:r w:rsidR="00105B82">
              <w:rPr>
                <w:rFonts w:ascii="Verdana" w:hAnsi="Verdana" w:cs="Arial"/>
                <w:sz w:val="18"/>
                <w:szCs w:val="18"/>
              </w:rPr>
              <w:t xml:space="preserve"> it </w:t>
            </w:r>
          </w:p>
        </w:tc>
        <w:tc>
          <w:tcPr>
            <w:tcW w:w="480"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A944FD" w:rsidP="00997EC9">
            <w:pPr>
              <w:rPr>
                <w:rFonts w:ascii="Verdana" w:hAnsi="Verdana" w:cs="Arial"/>
                <w:sz w:val="18"/>
                <w:szCs w:val="18"/>
              </w:rPr>
            </w:pPr>
            <w:r>
              <w:rPr>
                <w:rFonts w:ascii="Verdana" w:hAnsi="Verdana" w:cs="Arial"/>
                <w:sz w:val="18"/>
                <w:szCs w:val="18"/>
              </w:rPr>
              <w:t xml:space="preserve">The provision of housing </w:t>
            </w:r>
            <w:r w:rsidR="00105B82">
              <w:rPr>
                <w:rFonts w:ascii="Verdana" w:hAnsi="Verdana" w:cs="Arial"/>
                <w:sz w:val="18"/>
                <w:szCs w:val="18"/>
              </w:rPr>
              <w:t>in Oxford is constrained by the city’s tightly drawn administrative boundaries and by the many physical and environmental constraints identified in the report</w:t>
            </w:r>
          </w:p>
        </w:tc>
        <w:tc>
          <w:tcPr>
            <w:tcW w:w="528" w:type="pct"/>
            <w:tcBorders>
              <w:top w:val="single" w:sz="8" w:space="0" w:color="auto"/>
              <w:left w:val="nil"/>
              <w:bottom w:val="single" w:sz="8" w:space="0" w:color="auto"/>
              <w:right w:val="single" w:sz="4" w:space="0" w:color="auto"/>
            </w:tcBorders>
            <w:tcMar>
              <w:top w:w="17" w:type="dxa"/>
              <w:left w:w="17" w:type="dxa"/>
              <w:bottom w:w="0" w:type="dxa"/>
              <w:right w:w="17" w:type="dxa"/>
            </w:tcMar>
            <w:vAlign w:val="bottom"/>
          </w:tcPr>
          <w:p w:rsidR="00997EC9" w:rsidRPr="00997EC9" w:rsidRDefault="00105B82" w:rsidP="00105B82">
            <w:pPr>
              <w:rPr>
                <w:rFonts w:ascii="Verdana" w:hAnsi="Verdana" w:cs="Arial"/>
                <w:sz w:val="18"/>
                <w:szCs w:val="18"/>
              </w:rPr>
            </w:pPr>
            <w:r>
              <w:rPr>
                <w:rFonts w:ascii="Verdana" w:hAnsi="Verdana" w:cs="Arial"/>
                <w:sz w:val="18"/>
                <w:szCs w:val="18"/>
              </w:rPr>
              <w:t>Under-delivery of housing has all kinds of adverse social and economic consequences.  Some of the mai</w:t>
            </w:r>
            <w:r w:rsidR="00784DD3">
              <w:rPr>
                <w:rFonts w:ascii="Verdana" w:hAnsi="Verdana" w:cs="Arial"/>
                <w:sz w:val="18"/>
                <w:szCs w:val="18"/>
              </w:rPr>
              <w:t>n consequences are</w:t>
            </w:r>
            <w:r>
              <w:rPr>
                <w:rFonts w:ascii="Verdana" w:hAnsi="Verdana" w:cs="Arial"/>
                <w:sz w:val="18"/>
                <w:szCs w:val="18"/>
              </w:rPr>
              <w:t xml:space="preserve"> severe pressures on the housing stock, high housing waiting lists, overcrowding, and difficulties for employers in recruiting and retaining staff.</w:t>
            </w:r>
          </w:p>
        </w:tc>
        <w:tc>
          <w:tcPr>
            <w:tcW w:w="256"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105B82" w:rsidP="00997EC9">
            <w:pPr>
              <w:rPr>
                <w:rFonts w:ascii="Verdana" w:hAnsi="Verdana" w:cs="Arial"/>
                <w:sz w:val="18"/>
                <w:szCs w:val="18"/>
              </w:rPr>
            </w:pPr>
            <w:r>
              <w:rPr>
                <w:rFonts w:ascii="Verdana" w:hAnsi="Verdana" w:cs="Arial"/>
                <w:sz w:val="18"/>
                <w:szCs w:val="18"/>
              </w:rPr>
              <w:t>12.3.14</w:t>
            </w:r>
          </w:p>
        </w:tc>
        <w:tc>
          <w:tcPr>
            <w:tcW w:w="3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105B82" w:rsidP="00997EC9">
            <w:pPr>
              <w:rPr>
                <w:rFonts w:ascii="Verdana" w:hAnsi="Verdana" w:cs="Arial"/>
                <w:sz w:val="18"/>
                <w:szCs w:val="18"/>
              </w:rPr>
            </w:pPr>
            <w:r>
              <w:rPr>
                <w:rFonts w:ascii="Verdana" w:hAnsi="Verdana" w:cs="Arial"/>
                <w:sz w:val="18"/>
                <w:szCs w:val="18"/>
              </w:rPr>
              <w:t>2, 3 and 4</w:t>
            </w:r>
          </w:p>
        </w:tc>
        <w:tc>
          <w:tcPr>
            <w:tcW w:w="1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4</w:t>
            </w:r>
          </w:p>
        </w:tc>
        <w:tc>
          <w:tcPr>
            <w:tcW w:w="1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84DD3" w:rsidP="00997EC9">
            <w:pPr>
              <w:rPr>
                <w:rFonts w:ascii="Verdana" w:hAnsi="Verdana" w:cs="Arial"/>
                <w:sz w:val="18"/>
                <w:szCs w:val="18"/>
              </w:rPr>
            </w:pPr>
            <w:r>
              <w:rPr>
                <w:rFonts w:ascii="Verdana" w:hAnsi="Verdana" w:cs="Arial"/>
                <w:sz w:val="18"/>
                <w:szCs w:val="18"/>
              </w:rPr>
              <w:t>5</w:t>
            </w:r>
          </w:p>
        </w:tc>
        <w:tc>
          <w:tcPr>
            <w:tcW w:w="147"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4</w:t>
            </w:r>
          </w:p>
        </w:tc>
        <w:tc>
          <w:tcPr>
            <w:tcW w:w="14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84DD3" w:rsidP="00997EC9">
            <w:pPr>
              <w:rPr>
                <w:rFonts w:ascii="Verdana" w:hAnsi="Verdana" w:cs="Arial"/>
                <w:sz w:val="18"/>
                <w:szCs w:val="18"/>
              </w:rPr>
            </w:pPr>
            <w:r>
              <w:rPr>
                <w:rFonts w:ascii="Verdana" w:hAnsi="Verdana" w:cs="Arial"/>
                <w:sz w:val="18"/>
                <w:szCs w:val="18"/>
              </w:rPr>
              <w:t>3</w:t>
            </w:r>
          </w:p>
        </w:tc>
        <w:tc>
          <w:tcPr>
            <w:tcW w:w="129"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4</w:t>
            </w:r>
          </w:p>
        </w:tc>
        <w:tc>
          <w:tcPr>
            <w:tcW w:w="12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84DD3" w:rsidP="00997EC9">
            <w:pPr>
              <w:rPr>
                <w:rFonts w:ascii="Verdana" w:hAnsi="Verdana" w:cs="Arial"/>
                <w:sz w:val="18"/>
                <w:szCs w:val="18"/>
              </w:rPr>
            </w:pPr>
            <w:r>
              <w:rPr>
                <w:rFonts w:ascii="Verdana" w:hAnsi="Verdana" w:cs="Arial"/>
                <w:sz w:val="18"/>
                <w:szCs w:val="18"/>
              </w:rPr>
              <w:t>5</w:t>
            </w:r>
          </w:p>
        </w:tc>
        <w:tc>
          <w:tcPr>
            <w:tcW w:w="24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Michael</w:t>
            </w:r>
          </w:p>
          <w:p w:rsidR="00997EC9" w:rsidRPr="00997EC9" w:rsidRDefault="00997EC9" w:rsidP="00997EC9">
            <w:pPr>
              <w:rPr>
                <w:rFonts w:ascii="Verdana" w:hAnsi="Verdana" w:cs="Arial"/>
                <w:sz w:val="18"/>
                <w:szCs w:val="18"/>
              </w:rPr>
            </w:pPr>
            <w:r w:rsidRPr="00997EC9">
              <w:rPr>
                <w:rFonts w:ascii="Verdana" w:hAnsi="Verdana" w:cs="Arial"/>
                <w:sz w:val="18"/>
                <w:szCs w:val="18"/>
              </w:rPr>
              <w:t>Crofton</w:t>
            </w:r>
          </w:p>
          <w:p w:rsidR="00997EC9" w:rsidRPr="00997EC9" w:rsidRDefault="00997EC9" w:rsidP="00997EC9">
            <w:pPr>
              <w:rPr>
                <w:rFonts w:ascii="Verdana" w:hAnsi="Verdana" w:cs="Arial"/>
                <w:sz w:val="18"/>
                <w:szCs w:val="18"/>
              </w:rPr>
            </w:pPr>
            <w:r w:rsidRPr="00997EC9">
              <w:rPr>
                <w:rFonts w:ascii="Verdana" w:hAnsi="Verdana" w:cs="Arial"/>
                <w:sz w:val="18"/>
                <w:szCs w:val="18"/>
              </w:rPr>
              <w:t>Briggs</w:t>
            </w:r>
          </w:p>
        </w:tc>
        <w:tc>
          <w:tcPr>
            <w:tcW w:w="333"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p>
        </w:tc>
        <w:tc>
          <w:tcPr>
            <w:tcW w:w="431"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p>
        </w:tc>
      </w:tr>
      <w:tr w:rsidR="00784DD3" w:rsidRPr="00997EC9" w:rsidTr="00784DD3">
        <w:trPr>
          <w:trHeight w:val="255"/>
        </w:trPr>
        <w:tc>
          <w:tcPr>
            <w:tcW w:w="38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CEB-002-CD</w:t>
            </w:r>
          </w:p>
        </w:tc>
        <w:tc>
          <w:tcPr>
            <w:tcW w:w="3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71241" w:rsidP="00771241">
            <w:pPr>
              <w:rPr>
                <w:rFonts w:ascii="Verdana" w:hAnsi="Verdana" w:cs="Arial"/>
                <w:sz w:val="18"/>
                <w:szCs w:val="18"/>
              </w:rPr>
            </w:pPr>
            <w:r>
              <w:rPr>
                <w:rFonts w:ascii="Verdana" w:hAnsi="Verdana" w:cs="Arial"/>
                <w:sz w:val="18"/>
                <w:szCs w:val="18"/>
              </w:rPr>
              <w:t>Housing comes forward on inappropri</w:t>
            </w:r>
            <w:r>
              <w:rPr>
                <w:rFonts w:ascii="Verdana" w:hAnsi="Verdana" w:cs="Arial"/>
                <w:sz w:val="18"/>
                <w:szCs w:val="18"/>
              </w:rPr>
              <w:lastRenderedPageBreak/>
              <w:t xml:space="preserve">ate sites </w:t>
            </w:r>
          </w:p>
        </w:tc>
        <w:tc>
          <w:tcPr>
            <w:tcW w:w="433"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867C48" w:rsidP="00997EC9">
            <w:pPr>
              <w:rPr>
                <w:rFonts w:ascii="Verdana" w:hAnsi="Verdana" w:cs="Arial"/>
                <w:sz w:val="18"/>
                <w:szCs w:val="18"/>
              </w:rPr>
            </w:pPr>
            <w:r>
              <w:rPr>
                <w:rFonts w:ascii="Verdana" w:hAnsi="Verdana" w:cs="Arial"/>
                <w:sz w:val="18"/>
                <w:szCs w:val="18"/>
              </w:rPr>
              <w:lastRenderedPageBreak/>
              <w:t xml:space="preserve">Threat </w:t>
            </w:r>
            <w:r w:rsidR="00771241">
              <w:rPr>
                <w:rFonts w:ascii="Verdana" w:hAnsi="Verdana" w:cs="Arial"/>
                <w:sz w:val="18"/>
                <w:szCs w:val="18"/>
              </w:rPr>
              <w:t xml:space="preserve"> </w:t>
            </w:r>
          </w:p>
        </w:tc>
        <w:tc>
          <w:tcPr>
            <w:tcW w:w="481"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B12673" w:rsidP="00B12673">
            <w:pPr>
              <w:rPr>
                <w:rFonts w:ascii="Verdana" w:hAnsi="Verdana" w:cs="Arial"/>
                <w:sz w:val="18"/>
                <w:szCs w:val="18"/>
              </w:rPr>
            </w:pPr>
            <w:r>
              <w:rPr>
                <w:rFonts w:ascii="Verdana" w:hAnsi="Verdana" w:cs="Arial"/>
                <w:sz w:val="18"/>
                <w:szCs w:val="18"/>
              </w:rPr>
              <w:t>I</w:t>
            </w:r>
            <w:r w:rsidR="00867C48">
              <w:rPr>
                <w:rFonts w:ascii="Verdana" w:hAnsi="Verdana" w:cs="Arial"/>
                <w:sz w:val="18"/>
                <w:szCs w:val="18"/>
              </w:rPr>
              <w:t xml:space="preserve">t is possible that </w:t>
            </w:r>
            <w:r>
              <w:rPr>
                <w:rFonts w:ascii="Verdana" w:hAnsi="Verdana" w:cs="Arial"/>
                <w:sz w:val="18"/>
                <w:szCs w:val="18"/>
              </w:rPr>
              <w:t xml:space="preserve">some developers and landowners may use the </w:t>
            </w:r>
            <w:r>
              <w:rPr>
                <w:rFonts w:ascii="Verdana" w:hAnsi="Verdana" w:cs="Arial"/>
                <w:sz w:val="18"/>
                <w:szCs w:val="18"/>
              </w:rPr>
              <w:lastRenderedPageBreak/>
              <w:t xml:space="preserve">high level of housing need identified in the SHMA in support of planning applications on sites where there are other policy objections to housing </w:t>
            </w:r>
          </w:p>
        </w:tc>
        <w:tc>
          <w:tcPr>
            <w:tcW w:w="480"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4E1065" w:rsidP="004E1065">
            <w:pPr>
              <w:rPr>
                <w:rFonts w:ascii="Verdana" w:hAnsi="Verdana" w:cs="Arial"/>
                <w:sz w:val="18"/>
                <w:szCs w:val="18"/>
              </w:rPr>
            </w:pPr>
            <w:r>
              <w:rPr>
                <w:rFonts w:ascii="Verdana" w:hAnsi="Verdana" w:cs="Arial"/>
                <w:sz w:val="18"/>
                <w:szCs w:val="18"/>
              </w:rPr>
              <w:lastRenderedPageBreak/>
              <w:t xml:space="preserve">There will be some unallocated sites within the city that a </w:t>
            </w:r>
            <w:r>
              <w:rPr>
                <w:rFonts w:ascii="Verdana" w:hAnsi="Verdana" w:cs="Arial"/>
                <w:sz w:val="18"/>
                <w:szCs w:val="18"/>
              </w:rPr>
              <w:lastRenderedPageBreak/>
              <w:t xml:space="preserve">landowner wishes to develop for housing but which  the City Council considers to be unsuitable for housing because it would conflict with other policy objectives </w:t>
            </w:r>
          </w:p>
        </w:tc>
        <w:tc>
          <w:tcPr>
            <w:tcW w:w="528" w:type="pct"/>
            <w:tcBorders>
              <w:top w:val="single" w:sz="8"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4E1065" w:rsidP="00997EC9">
            <w:pPr>
              <w:rPr>
                <w:rFonts w:ascii="Verdana" w:hAnsi="Verdana" w:cs="Arial"/>
                <w:sz w:val="18"/>
                <w:szCs w:val="18"/>
              </w:rPr>
            </w:pPr>
            <w:r>
              <w:rPr>
                <w:rFonts w:ascii="Verdana" w:hAnsi="Verdana" w:cs="Arial"/>
                <w:sz w:val="18"/>
                <w:szCs w:val="18"/>
              </w:rPr>
              <w:lastRenderedPageBreak/>
              <w:t xml:space="preserve">Residential development on inappropriate sites could have a variety of </w:t>
            </w:r>
            <w:r>
              <w:rPr>
                <w:rFonts w:ascii="Verdana" w:hAnsi="Verdana" w:cs="Arial"/>
                <w:sz w:val="18"/>
                <w:szCs w:val="18"/>
              </w:rPr>
              <w:lastRenderedPageBreak/>
              <w:t>consequences including adverse impacts on the natural or built environment, increased flood risk, loss of other important facilities used by the public etc.</w:t>
            </w:r>
          </w:p>
        </w:tc>
        <w:tc>
          <w:tcPr>
            <w:tcW w:w="256"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1C4EEE" w:rsidP="00997EC9">
            <w:pPr>
              <w:rPr>
                <w:rFonts w:ascii="Verdana" w:hAnsi="Verdana" w:cs="Arial"/>
                <w:sz w:val="18"/>
                <w:szCs w:val="18"/>
              </w:rPr>
            </w:pPr>
            <w:r>
              <w:rPr>
                <w:rFonts w:ascii="Verdana" w:hAnsi="Verdana" w:cs="Arial"/>
                <w:sz w:val="18"/>
                <w:szCs w:val="18"/>
              </w:rPr>
              <w:lastRenderedPageBreak/>
              <w:t>12.3.14</w:t>
            </w:r>
          </w:p>
        </w:tc>
        <w:tc>
          <w:tcPr>
            <w:tcW w:w="336"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1C4EEE" w:rsidP="00997EC9">
            <w:pPr>
              <w:rPr>
                <w:rFonts w:ascii="Verdana" w:hAnsi="Verdana" w:cs="Arial"/>
                <w:sz w:val="18"/>
                <w:szCs w:val="18"/>
              </w:rPr>
            </w:pPr>
            <w:r>
              <w:rPr>
                <w:rFonts w:ascii="Verdana" w:hAnsi="Verdana" w:cs="Arial"/>
                <w:sz w:val="18"/>
                <w:szCs w:val="18"/>
              </w:rPr>
              <w:t>2, 4 and 5</w:t>
            </w:r>
          </w:p>
        </w:tc>
        <w:tc>
          <w:tcPr>
            <w:tcW w:w="1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A538B" w:rsidP="00997EC9">
            <w:pPr>
              <w:rPr>
                <w:rFonts w:ascii="Verdana" w:hAnsi="Verdana" w:cs="Arial"/>
                <w:sz w:val="18"/>
                <w:szCs w:val="18"/>
              </w:rPr>
            </w:pPr>
            <w:r>
              <w:rPr>
                <w:rFonts w:ascii="Verdana" w:hAnsi="Verdana" w:cs="Arial"/>
                <w:sz w:val="18"/>
                <w:szCs w:val="18"/>
              </w:rPr>
              <w:t>3</w:t>
            </w:r>
          </w:p>
        </w:tc>
        <w:tc>
          <w:tcPr>
            <w:tcW w:w="104"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A538B" w:rsidP="00997EC9">
            <w:pPr>
              <w:rPr>
                <w:rFonts w:ascii="Verdana" w:hAnsi="Verdana" w:cs="Arial"/>
                <w:sz w:val="18"/>
                <w:szCs w:val="18"/>
              </w:rPr>
            </w:pPr>
            <w:r>
              <w:rPr>
                <w:rFonts w:ascii="Verdana" w:hAnsi="Verdana" w:cs="Arial"/>
                <w:sz w:val="18"/>
                <w:szCs w:val="18"/>
              </w:rPr>
              <w:t>3</w:t>
            </w:r>
          </w:p>
        </w:tc>
        <w:tc>
          <w:tcPr>
            <w:tcW w:w="147"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A538B" w:rsidP="00997EC9">
            <w:pPr>
              <w:rPr>
                <w:rFonts w:ascii="Verdana" w:hAnsi="Verdana" w:cs="Arial"/>
                <w:sz w:val="18"/>
                <w:szCs w:val="18"/>
              </w:rPr>
            </w:pPr>
            <w:r>
              <w:rPr>
                <w:rFonts w:ascii="Verdana" w:hAnsi="Verdana" w:cs="Arial"/>
                <w:sz w:val="18"/>
                <w:szCs w:val="18"/>
              </w:rPr>
              <w:t>3</w:t>
            </w:r>
          </w:p>
        </w:tc>
        <w:tc>
          <w:tcPr>
            <w:tcW w:w="14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A538B" w:rsidP="00997EC9">
            <w:pPr>
              <w:rPr>
                <w:rFonts w:ascii="Verdana" w:hAnsi="Verdana" w:cs="Arial"/>
                <w:sz w:val="18"/>
                <w:szCs w:val="18"/>
              </w:rPr>
            </w:pPr>
            <w:r>
              <w:rPr>
                <w:rFonts w:ascii="Verdana" w:hAnsi="Verdana" w:cs="Arial"/>
                <w:sz w:val="18"/>
                <w:szCs w:val="18"/>
              </w:rPr>
              <w:t>2</w:t>
            </w:r>
          </w:p>
        </w:tc>
        <w:tc>
          <w:tcPr>
            <w:tcW w:w="129"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A538B" w:rsidP="00997EC9">
            <w:pPr>
              <w:rPr>
                <w:rFonts w:ascii="Verdana" w:hAnsi="Verdana" w:cs="Arial"/>
                <w:sz w:val="18"/>
                <w:szCs w:val="18"/>
              </w:rPr>
            </w:pPr>
            <w:r>
              <w:rPr>
                <w:rFonts w:ascii="Verdana" w:hAnsi="Verdana" w:cs="Arial"/>
                <w:sz w:val="18"/>
                <w:szCs w:val="18"/>
              </w:rPr>
              <w:t>3</w:t>
            </w:r>
          </w:p>
        </w:tc>
        <w:tc>
          <w:tcPr>
            <w:tcW w:w="12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rsidR="00997EC9" w:rsidRPr="00997EC9" w:rsidRDefault="007A538B" w:rsidP="00997EC9">
            <w:pPr>
              <w:rPr>
                <w:rFonts w:ascii="Verdana" w:hAnsi="Verdana" w:cs="Arial"/>
                <w:sz w:val="18"/>
                <w:szCs w:val="18"/>
              </w:rPr>
            </w:pPr>
            <w:r>
              <w:rPr>
                <w:rFonts w:ascii="Verdana" w:hAnsi="Verdana" w:cs="Arial"/>
                <w:sz w:val="18"/>
                <w:szCs w:val="18"/>
              </w:rPr>
              <w:t>3</w:t>
            </w:r>
          </w:p>
        </w:tc>
        <w:tc>
          <w:tcPr>
            <w:tcW w:w="240"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r w:rsidRPr="00997EC9">
              <w:rPr>
                <w:rFonts w:ascii="Verdana" w:hAnsi="Verdana" w:cs="Arial"/>
                <w:sz w:val="18"/>
                <w:szCs w:val="18"/>
              </w:rPr>
              <w:t>Michael</w:t>
            </w:r>
          </w:p>
          <w:p w:rsidR="00997EC9" w:rsidRPr="00997EC9" w:rsidRDefault="00997EC9" w:rsidP="00997EC9">
            <w:pPr>
              <w:rPr>
                <w:rFonts w:ascii="Verdana" w:hAnsi="Verdana" w:cs="Arial"/>
                <w:sz w:val="18"/>
                <w:szCs w:val="18"/>
              </w:rPr>
            </w:pPr>
            <w:r w:rsidRPr="00997EC9">
              <w:rPr>
                <w:rFonts w:ascii="Verdana" w:hAnsi="Verdana" w:cs="Arial"/>
                <w:sz w:val="18"/>
                <w:szCs w:val="18"/>
              </w:rPr>
              <w:t>Crofton</w:t>
            </w:r>
          </w:p>
          <w:p w:rsidR="00997EC9" w:rsidRPr="00997EC9" w:rsidRDefault="00997EC9" w:rsidP="00997EC9">
            <w:pPr>
              <w:rPr>
                <w:rFonts w:ascii="Verdana" w:hAnsi="Verdana" w:cs="Arial"/>
                <w:sz w:val="18"/>
                <w:szCs w:val="18"/>
              </w:rPr>
            </w:pPr>
            <w:r w:rsidRPr="00997EC9">
              <w:rPr>
                <w:rFonts w:ascii="Verdana" w:hAnsi="Verdana" w:cs="Arial"/>
                <w:sz w:val="18"/>
                <w:szCs w:val="18"/>
              </w:rPr>
              <w:t>Briggs</w:t>
            </w:r>
          </w:p>
        </w:tc>
        <w:tc>
          <w:tcPr>
            <w:tcW w:w="333"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p>
        </w:tc>
        <w:tc>
          <w:tcPr>
            <w:tcW w:w="431"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997EC9" w:rsidRPr="00997EC9" w:rsidRDefault="00997EC9" w:rsidP="00997EC9">
            <w:pPr>
              <w:rPr>
                <w:rFonts w:ascii="Verdana" w:hAnsi="Verdana" w:cs="Arial"/>
                <w:sz w:val="18"/>
                <w:szCs w:val="18"/>
              </w:rPr>
            </w:pPr>
          </w:p>
        </w:tc>
      </w:tr>
    </w:tbl>
    <w:p w:rsidR="00997EC9" w:rsidRDefault="00997EC9" w:rsidP="00997EC9">
      <w:pPr>
        <w:rPr>
          <w:b/>
          <w:bCs/>
        </w:rPr>
      </w:pPr>
    </w:p>
    <w:p w:rsidR="00C94550" w:rsidRPr="00997EC9" w:rsidRDefault="00C94550" w:rsidP="00997EC9">
      <w:pPr>
        <w:rPr>
          <w:b/>
          <w:bCs/>
        </w:rPr>
      </w:pPr>
    </w:p>
    <w:p w:rsidR="00997EC9" w:rsidRPr="00997EC9" w:rsidRDefault="00997EC9" w:rsidP="00997EC9">
      <w:pPr>
        <w:rPr>
          <w:b/>
          <w:bCs/>
        </w:rPr>
      </w:pPr>
    </w:p>
    <w:tbl>
      <w:tblPr>
        <w:tblW w:w="5272" w:type="pct"/>
        <w:tblInd w:w="-413" w:type="dxa"/>
        <w:tblLayout w:type="fixed"/>
        <w:tblCellMar>
          <w:left w:w="0" w:type="dxa"/>
          <w:right w:w="0" w:type="dxa"/>
        </w:tblCellMar>
        <w:tblLook w:val="0000" w:firstRow="0" w:lastRow="0" w:firstColumn="0" w:lastColumn="0" w:noHBand="0" w:noVBand="0"/>
      </w:tblPr>
      <w:tblGrid>
        <w:gridCol w:w="1136"/>
        <w:gridCol w:w="992"/>
        <w:gridCol w:w="850"/>
        <w:gridCol w:w="1843"/>
        <w:gridCol w:w="4111"/>
        <w:gridCol w:w="2035"/>
        <w:gridCol w:w="1430"/>
        <w:gridCol w:w="997"/>
        <w:gridCol w:w="1351"/>
      </w:tblGrid>
      <w:tr w:rsidR="00997EC9" w:rsidRPr="00997EC9" w:rsidTr="00C94550">
        <w:trPr>
          <w:trHeight w:val="801"/>
        </w:trPr>
        <w:tc>
          <w:tcPr>
            <w:tcW w:w="385" w:type="pct"/>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Risk ID</w:t>
            </w:r>
          </w:p>
        </w:tc>
        <w:tc>
          <w:tcPr>
            <w:tcW w:w="336"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Risk Title</w:t>
            </w:r>
          </w:p>
        </w:tc>
        <w:tc>
          <w:tcPr>
            <w:tcW w:w="288" w:type="pct"/>
            <w:tcBorders>
              <w:top w:val="single" w:sz="8" w:space="0" w:color="auto"/>
              <w:left w:val="nil"/>
              <w:bottom w:val="single" w:sz="8" w:space="0" w:color="auto"/>
              <w:right w:val="nil"/>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Action Owner</w:t>
            </w:r>
          </w:p>
        </w:tc>
        <w:tc>
          <w:tcPr>
            <w:tcW w:w="625" w:type="pct"/>
            <w:tcBorders>
              <w:top w:val="single" w:sz="8" w:space="0" w:color="auto"/>
              <w:left w:val="single" w:sz="8"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Accept, Contingency, Transfer, Reduce or Avoid</w:t>
            </w:r>
          </w:p>
        </w:tc>
        <w:tc>
          <w:tcPr>
            <w:tcW w:w="1394"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Details of  Action</w:t>
            </w:r>
          </w:p>
        </w:tc>
        <w:tc>
          <w:tcPr>
            <w:tcW w:w="690"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Key Milestone</w:t>
            </w:r>
          </w:p>
        </w:tc>
        <w:tc>
          <w:tcPr>
            <w:tcW w:w="485" w:type="pct"/>
            <w:tcBorders>
              <w:top w:val="single" w:sz="8" w:space="0" w:color="auto"/>
              <w:left w:val="nil"/>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eastAsia="Arial Unicode MS" w:hAnsi="Verdana" w:cs="Arial"/>
                <w:b/>
                <w:bCs/>
                <w:sz w:val="18"/>
                <w:szCs w:val="20"/>
              </w:rPr>
              <w:t>Milestone Delivery Date</w:t>
            </w:r>
          </w:p>
        </w:tc>
        <w:tc>
          <w:tcPr>
            <w:tcW w:w="338" w:type="pct"/>
            <w:tcBorders>
              <w:top w:val="single" w:sz="8" w:space="0" w:color="auto"/>
              <w:left w:val="nil"/>
              <w:bottom w:val="single" w:sz="8" w:space="0" w:color="auto"/>
              <w:right w:val="nil"/>
            </w:tcBorders>
            <w:shd w:val="clear" w:color="auto" w:fill="C0C0C0"/>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%Action Complete</w:t>
            </w:r>
          </w:p>
        </w:tc>
        <w:tc>
          <w:tcPr>
            <w:tcW w:w="458" w:type="pct"/>
            <w:tcBorders>
              <w:top w:val="single" w:sz="8" w:space="0" w:color="auto"/>
              <w:left w:val="single" w:sz="4" w:space="0" w:color="auto"/>
              <w:bottom w:val="single" w:sz="8" w:space="0" w:color="auto"/>
              <w:right w:val="single" w:sz="8" w:space="0" w:color="auto"/>
            </w:tcBorders>
            <w:shd w:val="clear" w:color="auto" w:fill="C0C0C0"/>
            <w:tcMar>
              <w:top w:w="13" w:type="dxa"/>
              <w:left w:w="13" w:type="dxa"/>
              <w:bottom w:w="0" w:type="dxa"/>
              <w:right w:w="13" w:type="dxa"/>
            </w:tcMar>
            <w:vAlign w:val="bottom"/>
          </w:tcPr>
          <w:p w:rsidR="00997EC9" w:rsidRPr="00997EC9" w:rsidRDefault="00997EC9" w:rsidP="00997EC9">
            <w:pPr>
              <w:rPr>
                <w:rFonts w:ascii="Verdana" w:eastAsia="Arial Unicode MS" w:hAnsi="Verdana" w:cs="Arial"/>
                <w:b/>
                <w:bCs/>
                <w:sz w:val="18"/>
                <w:szCs w:val="20"/>
              </w:rPr>
            </w:pPr>
            <w:r w:rsidRPr="00997EC9">
              <w:rPr>
                <w:rFonts w:ascii="Verdana" w:hAnsi="Verdana" w:cs="Arial"/>
                <w:b/>
                <w:bCs/>
                <w:sz w:val="18"/>
                <w:szCs w:val="20"/>
              </w:rPr>
              <w:t>Date Reviewed</w:t>
            </w:r>
          </w:p>
        </w:tc>
      </w:tr>
      <w:tr w:rsidR="00997EC9" w:rsidRPr="00997EC9" w:rsidTr="00C94550">
        <w:trPr>
          <w:trHeight w:val="660"/>
        </w:trPr>
        <w:tc>
          <w:tcPr>
            <w:tcW w:w="385"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CEB-001-CD</w:t>
            </w:r>
          </w:p>
        </w:tc>
        <w:tc>
          <w:tcPr>
            <w:tcW w:w="336" w:type="pct"/>
            <w:tcBorders>
              <w:top w:val="nil"/>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784DD3" w:rsidP="00771241">
            <w:pPr>
              <w:rPr>
                <w:rFonts w:ascii="Verdana" w:eastAsia="Arial Unicode MS" w:hAnsi="Verdana" w:cs="Arial"/>
                <w:sz w:val="18"/>
                <w:szCs w:val="18"/>
              </w:rPr>
            </w:pPr>
            <w:r>
              <w:rPr>
                <w:rFonts w:ascii="Verdana" w:hAnsi="Verdana" w:cs="Arial"/>
                <w:sz w:val="18"/>
                <w:szCs w:val="18"/>
              </w:rPr>
              <w:t>Insufficient h</w:t>
            </w:r>
            <w:r w:rsidR="00771241">
              <w:rPr>
                <w:rFonts w:ascii="Verdana" w:hAnsi="Verdana" w:cs="Arial"/>
                <w:sz w:val="18"/>
                <w:szCs w:val="18"/>
              </w:rPr>
              <w:t xml:space="preserve">ousing delivered </w:t>
            </w:r>
            <w:r>
              <w:rPr>
                <w:rFonts w:ascii="Verdana" w:hAnsi="Verdana" w:cs="Arial"/>
                <w:sz w:val="18"/>
                <w:szCs w:val="18"/>
              </w:rPr>
              <w:t>to meet identified need</w:t>
            </w:r>
          </w:p>
        </w:tc>
        <w:tc>
          <w:tcPr>
            <w:tcW w:w="288" w:type="pct"/>
            <w:tcBorders>
              <w:top w:val="nil"/>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Michael Crofton Briggs</w:t>
            </w:r>
          </w:p>
        </w:tc>
        <w:tc>
          <w:tcPr>
            <w:tcW w:w="625" w:type="pct"/>
            <w:tcBorders>
              <w:top w:val="nil"/>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Reduce</w:t>
            </w:r>
          </w:p>
        </w:tc>
        <w:tc>
          <w:tcPr>
            <w:tcW w:w="1394" w:type="pct"/>
            <w:tcBorders>
              <w:top w:val="nil"/>
              <w:left w:val="nil"/>
              <w:bottom w:val="single" w:sz="4" w:space="0" w:color="auto"/>
              <w:right w:val="single" w:sz="4" w:space="0" w:color="auto"/>
            </w:tcBorders>
            <w:tcMar>
              <w:top w:w="13" w:type="dxa"/>
              <w:left w:w="13" w:type="dxa"/>
              <w:bottom w:w="0" w:type="dxa"/>
              <w:right w:w="13" w:type="dxa"/>
            </w:tcMar>
            <w:vAlign w:val="bottom"/>
          </w:tcPr>
          <w:p w:rsidR="00997EC9" w:rsidRDefault="00784DD3" w:rsidP="00107701">
            <w:pPr>
              <w:rPr>
                <w:rFonts w:ascii="Verdana" w:eastAsia="Arial Unicode MS" w:hAnsi="Verdana" w:cs="Arial"/>
                <w:sz w:val="18"/>
                <w:szCs w:val="18"/>
              </w:rPr>
            </w:pPr>
            <w:r>
              <w:rPr>
                <w:rFonts w:ascii="Verdana" w:eastAsia="Arial Unicode MS" w:hAnsi="Verdana" w:cs="Arial"/>
                <w:sz w:val="18"/>
                <w:szCs w:val="18"/>
              </w:rPr>
              <w:t xml:space="preserve">Reduce risk by </w:t>
            </w:r>
            <w:r w:rsidR="00771241">
              <w:rPr>
                <w:rFonts w:ascii="Verdana" w:eastAsia="Arial Unicode MS" w:hAnsi="Verdana" w:cs="Arial"/>
                <w:sz w:val="18"/>
                <w:szCs w:val="18"/>
              </w:rPr>
              <w:t>working jointly with the other Oxfordshire districts to ensure that Oxford’s unmet housing need is accommodated in adjoining districts as set out in the Oxfordshire Statement of Cooperation.  If necessary make representations and appear at the Local Plan examinations of other Oxfordshire districts</w:t>
            </w:r>
            <w:r w:rsidR="00107701">
              <w:rPr>
                <w:rFonts w:ascii="Verdana" w:eastAsia="Arial Unicode MS" w:hAnsi="Verdana" w:cs="Arial"/>
                <w:sz w:val="18"/>
                <w:szCs w:val="18"/>
              </w:rPr>
              <w:t xml:space="preserve">. </w:t>
            </w:r>
          </w:p>
          <w:p w:rsidR="00107701" w:rsidRDefault="00107701" w:rsidP="00107701">
            <w:pPr>
              <w:rPr>
                <w:rFonts w:ascii="Verdana" w:eastAsia="Arial Unicode MS" w:hAnsi="Verdana" w:cs="Arial"/>
                <w:sz w:val="18"/>
                <w:szCs w:val="18"/>
              </w:rPr>
            </w:pPr>
          </w:p>
          <w:p w:rsidR="00107701" w:rsidRDefault="00107701" w:rsidP="00107701">
            <w:pPr>
              <w:rPr>
                <w:rFonts w:ascii="Verdana" w:eastAsia="Arial Unicode MS" w:hAnsi="Verdana" w:cs="Arial"/>
                <w:sz w:val="18"/>
                <w:szCs w:val="18"/>
              </w:rPr>
            </w:pPr>
            <w:r>
              <w:rPr>
                <w:rFonts w:ascii="Verdana" w:eastAsia="Arial Unicode MS" w:hAnsi="Verdana" w:cs="Arial"/>
                <w:sz w:val="18"/>
                <w:szCs w:val="18"/>
              </w:rPr>
              <w:t xml:space="preserve">There is an opportunity that publication of the SHMA will prompt a serious debate about housing and eventually lead to adjoining councils allocating additional land in sustainable locations to meet Oxford’s unmet housing needs.  </w:t>
            </w:r>
          </w:p>
          <w:p w:rsidR="00107701" w:rsidRPr="00997EC9" w:rsidRDefault="00107701" w:rsidP="00107701">
            <w:pPr>
              <w:rPr>
                <w:rFonts w:ascii="Verdana" w:eastAsia="Arial Unicode MS" w:hAnsi="Verdana" w:cs="Arial"/>
                <w:sz w:val="18"/>
                <w:szCs w:val="18"/>
              </w:rPr>
            </w:pPr>
          </w:p>
        </w:tc>
        <w:tc>
          <w:tcPr>
            <w:tcW w:w="690" w:type="pct"/>
            <w:tcBorders>
              <w:top w:val="nil"/>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lastRenderedPageBreak/>
              <w:t> </w:t>
            </w:r>
          </w:p>
        </w:tc>
        <w:tc>
          <w:tcPr>
            <w:tcW w:w="485" w:type="pct"/>
            <w:tcBorders>
              <w:top w:val="nil"/>
              <w:left w:val="nil"/>
              <w:bottom w:val="single" w:sz="4" w:space="0" w:color="auto"/>
              <w:right w:val="single" w:sz="4" w:space="0" w:color="auto"/>
            </w:tcBorders>
            <w:noWrap/>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c>
          <w:tcPr>
            <w:tcW w:w="338" w:type="pct"/>
            <w:tcBorders>
              <w:top w:val="nil"/>
              <w:left w:val="nil"/>
              <w:bottom w:val="single" w:sz="4" w:space="0" w:color="auto"/>
              <w:right w:val="nil"/>
            </w:tcBorders>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c>
          <w:tcPr>
            <w:tcW w:w="458"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r>
      <w:tr w:rsidR="00997EC9" w:rsidRPr="00997EC9" w:rsidTr="00C94550">
        <w:trPr>
          <w:trHeight w:val="660"/>
        </w:trPr>
        <w:tc>
          <w:tcPr>
            <w:tcW w:w="385"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lastRenderedPageBreak/>
              <w:t>CEB-002-CD</w:t>
            </w:r>
          </w:p>
        </w:tc>
        <w:tc>
          <w:tcPr>
            <w:tcW w:w="336" w:type="pct"/>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C94550" w:rsidP="00997EC9">
            <w:pPr>
              <w:rPr>
                <w:rFonts w:ascii="Verdana" w:hAnsi="Verdana" w:cs="Arial"/>
                <w:i/>
                <w:sz w:val="18"/>
                <w:szCs w:val="18"/>
              </w:rPr>
            </w:pPr>
            <w:r>
              <w:rPr>
                <w:rFonts w:ascii="Verdana" w:hAnsi="Verdana" w:cs="Arial"/>
                <w:sz w:val="18"/>
                <w:szCs w:val="18"/>
              </w:rPr>
              <w:t>Housing comes forward on inappropriate sites</w:t>
            </w:r>
          </w:p>
        </w:tc>
        <w:tc>
          <w:tcPr>
            <w:tcW w:w="288" w:type="pct"/>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Michael Crofton Briggs</w:t>
            </w:r>
          </w:p>
        </w:tc>
        <w:tc>
          <w:tcPr>
            <w:tcW w:w="625" w:type="pct"/>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Reduce</w:t>
            </w:r>
          </w:p>
        </w:tc>
        <w:tc>
          <w:tcPr>
            <w:tcW w:w="1394" w:type="pct"/>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C94550" w:rsidP="00A53797">
            <w:pPr>
              <w:rPr>
                <w:rFonts w:ascii="Verdana" w:eastAsia="Arial Unicode MS" w:hAnsi="Verdana" w:cs="Arial"/>
                <w:sz w:val="18"/>
                <w:szCs w:val="18"/>
              </w:rPr>
            </w:pPr>
            <w:r w:rsidRPr="00C94550">
              <w:rPr>
                <w:rFonts w:ascii="Verdana" w:hAnsi="Verdana" w:cs="Arial"/>
                <w:sz w:val="18"/>
                <w:szCs w:val="18"/>
              </w:rPr>
              <w:t xml:space="preserve">Legal advice has been </w:t>
            </w:r>
            <w:r>
              <w:rPr>
                <w:rFonts w:ascii="Verdana" w:hAnsi="Verdana" w:cs="Arial"/>
                <w:sz w:val="18"/>
                <w:szCs w:val="18"/>
              </w:rPr>
              <w:t>received</w:t>
            </w:r>
            <w:r w:rsidRPr="00C94550">
              <w:rPr>
                <w:rFonts w:ascii="Verdana" w:hAnsi="Verdana" w:cs="Arial"/>
                <w:sz w:val="18"/>
                <w:szCs w:val="18"/>
              </w:rPr>
              <w:t xml:space="preserve"> that confirms </w:t>
            </w:r>
            <w:r w:rsidRPr="00C94550">
              <w:rPr>
                <w:rFonts w:ascii="Verdana" w:hAnsi="Verdana"/>
                <w:sz w:val="18"/>
                <w:szCs w:val="18"/>
              </w:rPr>
              <w:t xml:space="preserve">there is no basis for suggesting that an updated SHMA renders a recently adopted development plan out of date.  This report advises Members </w:t>
            </w:r>
            <w:r w:rsidRPr="00C94550">
              <w:rPr>
                <w:rFonts w:ascii="Verdana" w:hAnsi="Verdana" w:cs="Arial"/>
                <w:sz w:val="18"/>
                <w:szCs w:val="18"/>
              </w:rPr>
              <w:t>that the City Council will continue to apply the housing requirement figure from Policy CS22 of the Core Strategy for the purpose of calculating Oxford’s five-year housing land supply, and that Members can be confident in continuing to apply full weight to the range of policies contained in Oxford’s development plan</w:t>
            </w:r>
          </w:p>
        </w:tc>
        <w:tc>
          <w:tcPr>
            <w:tcW w:w="690" w:type="pct"/>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c>
          <w:tcPr>
            <w:tcW w:w="485"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c>
          <w:tcPr>
            <w:tcW w:w="338" w:type="pct"/>
            <w:tcBorders>
              <w:top w:val="single" w:sz="4" w:space="0" w:color="auto"/>
              <w:left w:val="nil"/>
              <w:bottom w:val="single" w:sz="4" w:space="0" w:color="auto"/>
              <w:right w:val="nil"/>
            </w:tcBorders>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c>
          <w:tcPr>
            <w:tcW w:w="458"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997EC9" w:rsidRPr="00997EC9" w:rsidRDefault="00997EC9" w:rsidP="00997EC9">
            <w:pPr>
              <w:rPr>
                <w:rFonts w:ascii="Verdana" w:eastAsia="Arial Unicode MS" w:hAnsi="Verdana" w:cs="Arial"/>
                <w:sz w:val="18"/>
                <w:szCs w:val="18"/>
              </w:rPr>
            </w:pPr>
            <w:r w:rsidRPr="00997EC9">
              <w:rPr>
                <w:rFonts w:ascii="Verdana" w:hAnsi="Verdana" w:cs="Arial"/>
                <w:sz w:val="18"/>
                <w:szCs w:val="18"/>
              </w:rPr>
              <w:t> </w:t>
            </w:r>
          </w:p>
        </w:tc>
      </w:tr>
    </w:tbl>
    <w:p w:rsidR="008A22C6" w:rsidRPr="008A22C6" w:rsidRDefault="008A22C6" w:rsidP="008A22C6"/>
    <w:sectPr w:rsidR="008A22C6" w:rsidRPr="008A22C6" w:rsidSect="00997EC9">
      <w:pgSz w:w="16838" w:h="11906" w:orient="landscape"/>
      <w:pgMar w:top="1797" w:right="1440" w:bottom="1797" w:left="1440"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C9"/>
    <w:rsid w:val="000B4310"/>
    <w:rsid w:val="00105B82"/>
    <w:rsid w:val="00107701"/>
    <w:rsid w:val="001C4EEE"/>
    <w:rsid w:val="004000D7"/>
    <w:rsid w:val="004E1065"/>
    <w:rsid w:val="00504E43"/>
    <w:rsid w:val="005B40A5"/>
    <w:rsid w:val="00693C57"/>
    <w:rsid w:val="00771241"/>
    <w:rsid w:val="00784DD3"/>
    <w:rsid w:val="007908F4"/>
    <w:rsid w:val="007A538B"/>
    <w:rsid w:val="00867C48"/>
    <w:rsid w:val="0087633B"/>
    <w:rsid w:val="008A22C6"/>
    <w:rsid w:val="00997EC9"/>
    <w:rsid w:val="00A53797"/>
    <w:rsid w:val="00A944FD"/>
    <w:rsid w:val="00B12673"/>
    <w:rsid w:val="00BF1E11"/>
    <w:rsid w:val="00C07F80"/>
    <w:rsid w:val="00C9455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C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C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C58-925D-4C50-AC82-AECEF36E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BED1F205</Template>
  <TotalTime>1</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Adrian.Roche</dc:creator>
  <cp:lastModifiedBy>William.Reed</cp:lastModifiedBy>
  <cp:revision>2</cp:revision>
  <dcterms:created xsi:type="dcterms:W3CDTF">2014-02-17T12:14:00Z</dcterms:created>
  <dcterms:modified xsi:type="dcterms:W3CDTF">2014-02-17T12:14:00Z</dcterms:modified>
</cp:coreProperties>
</file>

<file path=docProps/custom.xml><?xml version="1.0" encoding="utf-8"?>
<op:Properties xmlns:op="http://schemas.openxmlformats.org/officeDocument/2006/custom-properties"/>
</file>